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56" w:type="dxa"/>
        <w:tblLook w:val="04A0" w:firstRow="1" w:lastRow="0" w:firstColumn="1" w:lastColumn="0" w:noHBand="0" w:noVBand="1"/>
      </w:tblPr>
      <w:tblGrid>
        <w:gridCol w:w="9969"/>
        <w:gridCol w:w="787"/>
      </w:tblGrid>
      <w:tr w:rsidR="00C01287" w14:paraId="5C8480D8" w14:textId="77777777" w:rsidTr="00B432D6">
        <w:trPr>
          <w:trHeight w:val="331"/>
        </w:trPr>
        <w:tc>
          <w:tcPr>
            <w:tcW w:w="10756" w:type="dxa"/>
            <w:gridSpan w:val="2"/>
            <w:shd w:val="clear" w:color="auto" w:fill="4AB5C4" w:themeFill="accent5"/>
          </w:tcPr>
          <w:p w14:paraId="1F8C1814" w14:textId="624FC68B" w:rsidR="00C01287" w:rsidRPr="00C01287" w:rsidRDefault="00C01287" w:rsidP="00C012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980A7CD" wp14:editId="7CA17913">
                  <wp:extent cx="1290917" cy="777489"/>
                  <wp:effectExtent l="0" t="0" r="5080" b="0"/>
                  <wp:docPr id="1072863834" name="Picture 1072863834" descr="NHS Cornwall and Isles of Scilly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NHS Cornwall and Isles of Scilly logo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43" r="14489" b="10262"/>
                          <a:stretch/>
                        </pic:blipFill>
                        <pic:spPr bwMode="auto">
                          <a:xfrm>
                            <a:off x="0" y="0"/>
                            <a:ext cx="1310263" cy="789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4CAD" w14:paraId="123C3B51" w14:textId="77777777" w:rsidTr="00B432D6">
        <w:trPr>
          <w:trHeight w:val="331"/>
        </w:trPr>
        <w:tc>
          <w:tcPr>
            <w:tcW w:w="10756" w:type="dxa"/>
            <w:gridSpan w:val="2"/>
            <w:shd w:val="clear" w:color="auto" w:fill="4AB5C4" w:themeFill="accent5"/>
          </w:tcPr>
          <w:p w14:paraId="4C91D8F0" w14:textId="4450B32D" w:rsidR="00384CAD" w:rsidRPr="00C01287" w:rsidRDefault="00384CAD">
            <w:pPr>
              <w:rPr>
                <w:b/>
                <w:bCs/>
                <w:sz w:val="22"/>
                <w:szCs w:val="22"/>
              </w:rPr>
            </w:pPr>
            <w:r w:rsidRPr="00C01287">
              <w:rPr>
                <w:b/>
                <w:bCs/>
              </w:rPr>
              <w:t>Best Practice Checklist for Community Pharmacy Teams</w:t>
            </w:r>
          </w:p>
        </w:tc>
      </w:tr>
      <w:tr w:rsidR="00384CAD" w14:paraId="739FCBA1" w14:textId="77777777" w:rsidTr="00C01287">
        <w:trPr>
          <w:trHeight w:val="331"/>
        </w:trPr>
        <w:tc>
          <w:tcPr>
            <w:tcW w:w="9969" w:type="dxa"/>
            <w:shd w:val="clear" w:color="auto" w:fill="DAF0F3" w:themeFill="accent5" w:themeFillTint="33"/>
          </w:tcPr>
          <w:p w14:paraId="2BBC5AE2" w14:textId="76102FA9" w:rsidR="00384CAD" w:rsidRPr="00C01287" w:rsidRDefault="00384CAD">
            <w:pPr>
              <w:rPr>
                <w:sz w:val="22"/>
                <w:szCs w:val="22"/>
              </w:rPr>
            </w:pPr>
            <w:r w:rsidRPr="00C01287">
              <w:rPr>
                <w:sz w:val="22"/>
                <w:szCs w:val="22"/>
              </w:rPr>
              <w:t>Investing time in building relationships with local practices – regular review meetings</w:t>
            </w:r>
          </w:p>
        </w:tc>
        <w:tc>
          <w:tcPr>
            <w:tcW w:w="787" w:type="dxa"/>
            <w:shd w:val="clear" w:color="auto" w:fill="DAF0F3" w:themeFill="accent5" w:themeFillTint="33"/>
          </w:tcPr>
          <w:p w14:paraId="73F75C60" w14:textId="77777777" w:rsidR="00384CAD" w:rsidRPr="00C01287" w:rsidRDefault="00384CAD">
            <w:pPr>
              <w:rPr>
                <w:sz w:val="22"/>
                <w:szCs w:val="22"/>
              </w:rPr>
            </w:pPr>
          </w:p>
        </w:tc>
      </w:tr>
      <w:tr w:rsidR="00384CAD" w14:paraId="6622C76C" w14:textId="77777777" w:rsidTr="00C01287">
        <w:trPr>
          <w:trHeight w:val="349"/>
        </w:trPr>
        <w:tc>
          <w:tcPr>
            <w:tcW w:w="9969" w:type="dxa"/>
            <w:shd w:val="clear" w:color="auto" w:fill="DAF0F3" w:themeFill="accent5" w:themeFillTint="33"/>
          </w:tcPr>
          <w:p w14:paraId="5453C9F6" w14:textId="3694F548" w:rsidR="00384CAD" w:rsidRPr="00C01287" w:rsidRDefault="00384CAD">
            <w:pPr>
              <w:rPr>
                <w:sz w:val="22"/>
                <w:szCs w:val="22"/>
              </w:rPr>
            </w:pPr>
            <w:r w:rsidRPr="00C01287">
              <w:rPr>
                <w:sz w:val="22"/>
                <w:szCs w:val="22"/>
              </w:rPr>
              <w:t>Spending time with general practice teams to support training of reception teams on appropriate referrals</w:t>
            </w:r>
          </w:p>
        </w:tc>
        <w:tc>
          <w:tcPr>
            <w:tcW w:w="787" w:type="dxa"/>
            <w:shd w:val="clear" w:color="auto" w:fill="DAF0F3" w:themeFill="accent5" w:themeFillTint="33"/>
          </w:tcPr>
          <w:p w14:paraId="2D77C08E" w14:textId="77777777" w:rsidR="00384CAD" w:rsidRPr="00C01287" w:rsidRDefault="00384CAD">
            <w:pPr>
              <w:rPr>
                <w:sz w:val="22"/>
                <w:szCs w:val="22"/>
              </w:rPr>
            </w:pPr>
          </w:p>
        </w:tc>
      </w:tr>
      <w:tr w:rsidR="00384CAD" w14:paraId="055F145F" w14:textId="77777777" w:rsidTr="00C01287">
        <w:trPr>
          <w:trHeight w:val="331"/>
        </w:trPr>
        <w:tc>
          <w:tcPr>
            <w:tcW w:w="9969" w:type="dxa"/>
            <w:shd w:val="clear" w:color="auto" w:fill="DAF0F3" w:themeFill="accent5" w:themeFillTint="33"/>
          </w:tcPr>
          <w:p w14:paraId="5F497125" w14:textId="098A87D2" w:rsidR="00384CAD" w:rsidRPr="00C01287" w:rsidRDefault="00384CAD">
            <w:pPr>
              <w:rPr>
                <w:sz w:val="22"/>
                <w:szCs w:val="22"/>
              </w:rPr>
            </w:pPr>
            <w:r w:rsidRPr="00C01287">
              <w:rPr>
                <w:sz w:val="22"/>
                <w:szCs w:val="22"/>
              </w:rPr>
              <w:t>Understanding the priorities of your practices and aligning community-based pharmacy services e.g. Pharmacy First will support GP access</w:t>
            </w:r>
          </w:p>
        </w:tc>
        <w:tc>
          <w:tcPr>
            <w:tcW w:w="787" w:type="dxa"/>
            <w:shd w:val="clear" w:color="auto" w:fill="DAF0F3" w:themeFill="accent5" w:themeFillTint="33"/>
          </w:tcPr>
          <w:p w14:paraId="1F867C66" w14:textId="77777777" w:rsidR="00384CAD" w:rsidRPr="00C01287" w:rsidRDefault="00384CAD">
            <w:pPr>
              <w:rPr>
                <w:sz w:val="22"/>
                <w:szCs w:val="22"/>
              </w:rPr>
            </w:pPr>
          </w:p>
        </w:tc>
      </w:tr>
      <w:tr w:rsidR="00384CAD" w14:paraId="20E4264C" w14:textId="77777777" w:rsidTr="00C01287">
        <w:trPr>
          <w:trHeight w:val="331"/>
        </w:trPr>
        <w:tc>
          <w:tcPr>
            <w:tcW w:w="9969" w:type="dxa"/>
            <w:shd w:val="clear" w:color="auto" w:fill="DAF0F3" w:themeFill="accent5" w:themeFillTint="33"/>
          </w:tcPr>
          <w:p w14:paraId="2B9D46A5" w14:textId="4223B3C7" w:rsidR="00384CAD" w:rsidRPr="00C01287" w:rsidRDefault="00384CAD">
            <w:pPr>
              <w:rPr>
                <w:sz w:val="22"/>
                <w:szCs w:val="22"/>
              </w:rPr>
            </w:pPr>
            <w:r w:rsidRPr="00C01287">
              <w:rPr>
                <w:sz w:val="22"/>
                <w:szCs w:val="22"/>
              </w:rPr>
              <w:t>Discussing the expected number of daily referrals from your practice</w:t>
            </w:r>
          </w:p>
        </w:tc>
        <w:tc>
          <w:tcPr>
            <w:tcW w:w="787" w:type="dxa"/>
            <w:shd w:val="clear" w:color="auto" w:fill="DAF0F3" w:themeFill="accent5" w:themeFillTint="33"/>
          </w:tcPr>
          <w:p w14:paraId="4BAC0261" w14:textId="77777777" w:rsidR="00384CAD" w:rsidRPr="00C01287" w:rsidRDefault="00384CAD">
            <w:pPr>
              <w:rPr>
                <w:sz w:val="22"/>
                <w:szCs w:val="22"/>
              </w:rPr>
            </w:pPr>
          </w:p>
        </w:tc>
      </w:tr>
      <w:tr w:rsidR="00384CAD" w14:paraId="2E7FF5EF" w14:textId="77777777" w:rsidTr="00C01287">
        <w:trPr>
          <w:trHeight w:val="331"/>
        </w:trPr>
        <w:tc>
          <w:tcPr>
            <w:tcW w:w="9969" w:type="dxa"/>
            <w:shd w:val="clear" w:color="auto" w:fill="DAF0F3" w:themeFill="accent5" w:themeFillTint="33"/>
          </w:tcPr>
          <w:p w14:paraId="6B9DEA07" w14:textId="16934999" w:rsidR="00384CAD" w:rsidRPr="00C01287" w:rsidRDefault="00384CAD">
            <w:pPr>
              <w:rPr>
                <w:sz w:val="22"/>
                <w:szCs w:val="22"/>
              </w:rPr>
            </w:pPr>
            <w:r w:rsidRPr="00C01287">
              <w:rPr>
                <w:sz w:val="22"/>
                <w:szCs w:val="22"/>
              </w:rPr>
              <w:t>Agreeing a timeframe in which patient should expect contact from the Pharmacist/will the patient walk in, what’s the cut off for the same day consultations?</w:t>
            </w:r>
          </w:p>
        </w:tc>
        <w:tc>
          <w:tcPr>
            <w:tcW w:w="787" w:type="dxa"/>
            <w:shd w:val="clear" w:color="auto" w:fill="DAF0F3" w:themeFill="accent5" w:themeFillTint="33"/>
          </w:tcPr>
          <w:p w14:paraId="24280621" w14:textId="77777777" w:rsidR="00384CAD" w:rsidRPr="00C01287" w:rsidRDefault="00384CAD">
            <w:pPr>
              <w:rPr>
                <w:sz w:val="22"/>
                <w:szCs w:val="22"/>
              </w:rPr>
            </w:pPr>
          </w:p>
        </w:tc>
      </w:tr>
      <w:tr w:rsidR="00384CAD" w14:paraId="73F1BF70" w14:textId="77777777" w:rsidTr="00C01287">
        <w:trPr>
          <w:trHeight w:val="331"/>
        </w:trPr>
        <w:tc>
          <w:tcPr>
            <w:tcW w:w="9969" w:type="dxa"/>
            <w:shd w:val="clear" w:color="auto" w:fill="DAF0F3" w:themeFill="accent5" w:themeFillTint="33"/>
          </w:tcPr>
          <w:p w14:paraId="2C5CE110" w14:textId="47C40369" w:rsidR="00384CAD" w:rsidRPr="00C01287" w:rsidRDefault="00384CAD">
            <w:pPr>
              <w:rPr>
                <w:sz w:val="22"/>
                <w:szCs w:val="22"/>
              </w:rPr>
            </w:pPr>
            <w:r w:rsidRPr="00C01287">
              <w:rPr>
                <w:sz w:val="22"/>
                <w:szCs w:val="22"/>
              </w:rPr>
              <w:t>Agreeing escalation pathway to GP for patients that require higher acuity care – urgent and non-urgent</w:t>
            </w:r>
          </w:p>
        </w:tc>
        <w:tc>
          <w:tcPr>
            <w:tcW w:w="787" w:type="dxa"/>
            <w:shd w:val="clear" w:color="auto" w:fill="DAF0F3" w:themeFill="accent5" w:themeFillTint="33"/>
          </w:tcPr>
          <w:p w14:paraId="0232DA6A" w14:textId="77777777" w:rsidR="00384CAD" w:rsidRPr="00C01287" w:rsidRDefault="00384CAD">
            <w:pPr>
              <w:rPr>
                <w:sz w:val="22"/>
                <w:szCs w:val="22"/>
              </w:rPr>
            </w:pPr>
          </w:p>
        </w:tc>
      </w:tr>
      <w:tr w:rsidR="00384CAD" w14:paraId="669DDC6B" w14:textId="77777777" w:rsidTr="00C01287">
        <w:trPr>
          <w:trHeight w:val="331"/>
        </w:trPr>
        <w:tc>
          <w:tcPr>
            <w:tcW w:w="9969" w:type="dxa"/>
            <w:shd w:val="clear" w:color="auto" w:fill="DAF0F3" w:themeFill="accent5" w:themeFillTint="33"/>
          </w:tcPr>
          <w:p w14:paraId="2E50A493" w14:textId="3D53CA78" w:rsidR="00384CAD" w:rsidRPr="00C01287" w:rsidRDefault="00384CAD">
            <w:pPr>
              <w:rPr>
                <w:sz w:val="22"/>
                <w:szCs w:val="22"/>
              </w:rPr>
            </w:pPr>
            <w:r w:rsidRPr="00C01287">
              <w:rPr>
                <w:sz w:val="22"/>
                <w:szCs w:val="22"/>
              </w:rPr>
              <w:t xml:space="preserve">Regularly checking NHS Mail or </w:t>
            </w:r>
            <w:proofErr w:type="spellStart"/>
            <w:r w:rsidRPr="00C01287">
              <w:rPr>
                <w:sz w:val="22"/>
                <w:szCs w:val="22"/>
              </w:rPr>
              <w:t>PharmOutcomes</w:t>
            </w:r>
            <w:proofErr w:type="spellEnd"/>
            <w:r w:rsidRPr="00C01287">
              <w:rPr>
                <w:sz w:val="22"/>
                <w:szCs w:val="22"/>
              </w:rPr>
              <w:t xml:space="preserve"> for referrals</w:t>
            </w:r>
          </w:p>
        </w:tc>
        <w:tc>
          <w:tcPr>
            <w:tcW w:w="787" w:type="dxa"/>
            <w:shd w:val="clear" w:color="auto" w:fill="DAF0F3" w:themeFill="accent5" w:themeFillTint="33"/>
          </w:tcPr>
          <w:p w14:paraId="66C675B0" w14:textId="77777777" w:rsidR="00384CAD" w:rsidRPr="00C01287" w:rsidRDefault="00384CAD">
            <w:pPr>
              <w:rPr>
                <w:sz w:val="22"/>
                <w:szCs w:val="22"/>
              </w:rPr>
            </w:pPr>
          </w:p>
        </w:tc>
      </w:tr>
      <w:tr w:rsidR="00384CAD" w14:paraId="282967BB" w14:textId="77777777" w:rsidTr="00C01287">
        <w:trPr>
          <w:trHeight w:val="331"/>
        </w:trPr>
        <w:tc>
          <w:tcPr>
            <w:tcW w:w="9969" w:type="dxa"/>
            <w:shd w:val="clear" w:color="auto" w:fill="DAF0F3" w:themeFill="accent5" w:themeFillTint="33"/>
          </w:tcPr>
          <w:p w14:paraId="200B0488" w14:textId="48B3CD95" w:rsidR="00384CAD" w:rsidRPr="00C01287" w:rsidRDefault="00384CAD">
            <w:pPr>
              <w:rPr>
                <w:sz w:val="22"/>
                <w:szCs w:val="22"/>
              </w:rPr>
            </w:pPr>
            <w:r w:rsidRPr="00C01287">
              <w:rPr>
                <w:sz w:val="22"/>
                <w:szCs w:val="22"/>
              </w:rPr>
              <w:t xml:space="preserve">Ensuring locums </w:t>
            </w:r>
            <w:proofErr w:type="gramStart"/>
            <w:r w:rsidRPr="00C01287">
              <w:rPr>
                <w:sz w:val="22"/>
                <w:szCs w:val="22"/>
              </w:rPr>
              <w:t>are able to</w:t>
            </w:r>
            <w:proofErr w:type="gramEnd"/>
            <w:r w:rsidRPr="00C01287">
              <w:rPr>
                <w:sz w:val="22"/>
                <w:szCs w:val="22"/>
              </w:rPr>
              <w:t xml:space="preserve"> deliver the service</w:t>
            </w:r>
          </w:p>
        </w:tc>
        <w:tc>
          <w:tcPr>
            <w:tcW w:w="787" w:type="dxa"/>
            <w:shd w:val="clear" w:color="auto" w:fill="DAF0F3" w:themeFill="accent5" w:themeFillTint="33"/>
          </w:tcPr>
          <w:p w14:paraId="61B998D7" w14:textId="77777777" w:rsidR="00384CAD" w:rsidRPr="00C01287" w:rsidRDefault="00384CAD">
            <w:pPr>
              <w:rPr>
                <w:sz w:val="22"/>
                <w:szCs w:val="22"/>
              </w:rPr>
            </w:pPr>
          </w:p>
        </w:tc>
      </w:tr>
      <w:tr w:rsidR="00384CAD" w14:paraId="0078710B" w14:textId="77777777" w:rsidTr="00C01287">
        <w:trPr>
          <w:trHeight w:val="331"/>
        </w:trPr>
        <w:tc>
          <w:tcPr>
            <w:tcW w:w="9969" w:type="dxa"/>
            <w:shd w:val="clear" w:color="auto" w:fill="DAF0F3" w:themeFill="accent5" w:themeFillTint="33"/>
          </w:tcPr>
          <w:p w14:paraId="41587ADF" w14:textId="1B16939C" w:rsidR="00384CAD" w:rsidRPr="00C01287" w:rsidRDefault="00384CAD">
            <w:pPr>
              <w:rPr>
                <w:sz w:val="22"/>
                <w:szCs w:val="22"/>
              </w:rPr>
            </w:pPr>
            <w:r w:rsidRPr="00C01287">
              <w:rPr>
                <w:sz w:val="22"/>
                <w:szCs w:val="22"/>
              </w:rPr>
              <w:t>Using the wider pharmacy team to support the process and locums</w:t>
            </w:r>
          </w:p>
        </w:tc>
        <w:tc>
          <w:tcPr>
            <w:tcW w:w="787" w:type="dxa"/>
            <w:shd w:val="clear" w:color="auto" w:fill="DAF0F3" w:themeFill="accent5" w:themeFillTint="33"/>
          </w:tcPr>
          <w:p w14:paraId="7A6E9C8B" w14:textId="77777777" w:rsidR="00384CAD" w:rsidRPr="00C01287" w:rsidRDefault="00384CAD">
            <w:pPr>
              <w:rPr>
                <w:sz w:val="22"/>
                <w:szCs w:val="22"/>
              </w:rPr>
            </w:pPr>
          </w:p>
        </w:tc>
      </w:tr>
      <w:tr w:rsidR="00384CAD" w14:paraId="7B4C77F8" w14:textId="77777777" w:rsidTr="00C01287">
        <w:trPr>
          <w:trHeight w:val="331"/>
        </w:trPr>
        <w:tc>
          <w:tcPr>
            <w:tcW w:w="9969" w:type="dxa"/>
            <w:shd w:val="clear" w:color="auto" w:fill="DAF0F3" w:themeFill="accent5" w:themeFillTint="33"/>
          </w:tcPr>
          <w:p w14:paraId="55E49C01" w14:textId="6423AF40" w:rsidR="00384CAD" w:rsidRPr="00C01287" w:rsidRDefault="00384CAD">
            <w:pPr>
              <w:rPr>
                <w:sz w:val="22"/>
                <w:szCs w:val="22"/>
              </w:rPr>
            </w:pPr>
            <w:r w:rsidRPr="00C01287">
              <w:rPr>
                <w:sz w:val="22"/>
                <w:szCs w:val="22"/>
              </w:rPr>
              <w:t>Regular communication with practices to discuss service provision and opportunities to improve from both sides</w:t>
            </w:r>
          </w:p>
        </w:tc>
        <w:tc>
          <w:tcPr>
            <w:tcW w:w="787" w:type="dxa"/>
            <w:shd w:val="clear" w:color="auto" w:fill="DAF0F3" w:themeFill="accent5" w:themeFillTint="33"/>
          </w:tcPr>
          <w:p w14:paraId="3E41BF16" w14:textId="77777777" w:rsidR="00384CAD" w:rsidRPr="00C01287" w:rsidRDefault="00384CAD">
            <w:pPr>
              <w:rPr>
                <w:sz w:val="22"/>
                <w:szCs w:val="22"/>
              </w:rPr>
            </w:pPr>
          </w:p>
        </w:tc>
      </w:tr>
      <w:tr w:rsidR="00384CAD" w14:paraId="2EE49073" w14:textId="77777777" w:rsidTr="00C01287">
        <w:trPr>
          <w:trHeight w:val="331"/>
        </w:trPr>
        <w:tc>
          <w:tcPr>
            <w:tcW w:w="9969" w:type="dxa"/>
            <w:shd w:val="clear" w:color="auto" w:fill="DAF0F3" w:themeFill="accent5" w:themeFillTint="33"/>
          </w:tcPr>
          <w:p w14:paraId="6711B202" w14:textId="2566A85F" w:rsidR="00384CAD" w:rsidRPr="00C01287" w:rsidRDefault="00384CAD">
            <w:pPr>
              <w:rPr>
                <w:sz w:val="22"/>
                <w:szCs w:val="22"/>
              </w:rPr>
            </w:pPr>
            <w:r w:rsidRPr="00C01287">
              <w:rPr>
                <w:sz w:val="22"/>
                <w:szCs w:val="22"/>
              </w:rPr>
              <w:t>Sufficient information is provided to the practice relating to referrals back e.g. a referral back form</w:t>
            </w:r>
          </w:p>
        </w:tc>
        <w:tc>
          <w:tcPr>
            <w:tcW w:w="787" w:type="dxa"/>
            <w:shd w:val="clear" w:color="auto" w:fill="DAF0F3" w:themeFill="accent5" w:themeFillTint="33"/>
          </w:tcPr>
          <w:p w14:paraId="2CE6D776" w14:textId="77777777" w:rsidR="00384CAD" w:rsidRPr="00C01287" w:rsidRDefault="00384CAD">
            <w:pPr>
              <w:rPr>
                <w:sz w:val="22"/>
                <w:szCs w:val="22"/>
              </w:rPr>
            </w:pPr>
          </w:p>
        </w:tc>
      </w:tr>
      <w:tr w:rsidR="00384CAD" w14:paraId="3AA02490" w14:textId="77777777" w:rsidTr="00C01287">
        <w:trPr>
          <w:trHeight w:val="331"/>
        </w:trPr>
        <w:tc>
          <w:tcPr>
            <w:tcW w:w="9969" w:type="dxa"/>
            <w:shd w:val="clear" w:color="auto" w:fill="DAF0F3" w:themeFill="accent5" w:themeFillTint="33"/>
          </w:tcPr>
          <w:p w14:paraId="7B1C5205" w14:textId="6B9B8385" w:rsidR="00384CAD" w:rsidRPr="00C01287" w:rsidRDefault="00384CAD">
            <w:pPr>
              <w:rPr>
                <w:sz w:val="22"/>
                <w:szCs w:val="22"/>
              </w:rPr>
            </w:pPr>
            <w:r w:rsidRPr="00C01287">
              <w:rPr>
                <w:sz w:val="22"/>
                <w:szCs w:val="22"/>
              </w:rPr>
              <w:t>Resolving issues directly with practices</w:t>
            </w:r>
          </w:p>
        </w:tc>
        <w:tc>
          <w:tcPr>
            <w:tcW w:w="787" w:type="dxa"/>
            <w:shd w:val="clear" w:color="auto" w:fill="DAF0F3" w:themeFill="accent5" w:themeFillTint="33"/>
          </w:tcPr>
          <w:p w14:paraId="088392B7" w14:textId="77777777" w:rsidR="00384CAD" w:rsidRPr="00C01287" w:rsidRDefault="00384CAD">
            <w:pPr>
              <w:rPr>
                <w:sz w:val="22"/>
                <w:szCs w:val="22"/>
              </w:rPr>
            </w:pPr>
          </w:p>
        </w:tc>
      </w:tr>
      <w:tr w:rsidR="00384CAD" w14:paraId="3BDED1BA" w14:textId="77777777" w:rsidTr="00C01287">
        <w:trPr>
          <w:trHeight w:val="331"/>
        </w:trPr>
        <w:tc>
          <w:tcPr>
            <w:tcW w:w="9969" w:type="dxa"/>
            <w:shd w:val="clear" w:color="auto" w:fill="DAF0F3" w:themeFill="accent5" w:themeFillTint="33"/>
          </w:tcPr>
          <w:p w14:paraId="284C28BB" w14:textId="47949B99" w:rsidR="00384CAD" w:rsidRPr="00C01287" w:rsidRDefault="00384CAD">
            <w:pPr>
              <w:rPr>
                <w:sz w:val="22"/>
                <w:szCs w:val="22"/>
              </w:rPr>
            </w:pPr>
            <w:r w:rsidRPr="00C01287">
              <w:rPr>
                <w:sz w:val="22"/>
                <w:szCs w:val="22"/>
              </w:rPr>
              <w:t>Pharmacy First is part of the pharmacy’s model day processes</w:t>
            </w:r>
          </w:p>
        </w:tc>
        <w:tc>
          <w:tcPr>
            <w:tcW w:w="787" w:type="dxa"/>
            <w:shd w:val="clear" w:color="auto" w:fill="DAF0F3" w:themeFill="accent5" w:themeFillTint="33"/>
          </w:tcPr>
          <w:p w14:paraId="0CC34FF3" w14:textId="77777777" w:rsidR="00384CAD" w:rsidRPr="00C01287" w:rsidRDefault="00384CAD">
            <w:pPr>
              <w:rPr>
                <w:sz w:val="22"/>
                <w:szCs w:val="22"/>
              </w:rPr>
            </w:pPr>
          </w:p>
        </w:tc>
      </w:tr>
      <w:tr w:rsidR="00384CAD" w14:paraId="36AFAFA7" w14:textId="77777777" w:rsidTr="00C01287">
        <w:trPr>
          <w:trHeight w:val="331"/>
        </w:trPr>
        <w:tc>
          <w:tcPr>
            <w:tcW w:w="9969" w:type="dxa"/>
            <w:shd w:val="clear" w:color="auto" w:fill="DAF0F3" w:themeFill="accent5" w:themeFillTint="33"/>
          </w:tcPr>
          <w:p w14:paraId="4E2E2724" w14:textId="3878FEF8" w:rsidR="00384CAD" w:rsidRPr="00C01287" w:rsidRDefault="00384CAD">
            <w:pPr>
              <w:rPr>
                <w:sz w:val="22"/>
                <w:szCs w:val="22"/>
              </w:rPr>
            </w:pPr>
            <w:r w:rsidRPr="00C01287">
              <w:rPr>
                <w:sz w:val="22"/>
                <w:szCs w:val="22"/>
              </w:rPr>
              <w:t>Undertaking CPD in areas of less confidence</w:t>
            </w:r>
          </w:p>
        </w:tc>
        <w:tc>
          <w:tcPr>
            <w:tcW w:w="787" w:type="dxa"/>
            <w:shd w:val="clear" w:color="auto" w:fill="DAF0F3" w:themeFill="accent5" w:themeFillTint="33"/>
          </w:tcPr>
          <w:p w14:paraId="5BA07B86" w14:textId="77777777" w:rsidR="00384CAD" w:rsidRPr="00C01287" w:rsidRDefault="00384CAD">
            <w:pPr>
              <w:rPr>
                <w:sz w:val="22"/>
                <w:szCs w:val="22"/>
              </w:rPr>
            </w:pPr>
          </w:p>
        </w:tc>
      </w:tr>
      <w:tr w:rsidR="00384CAD" w14:paraId="6150B6A9" w14:textId="77777777" w:rsidTr="00C01287">
        <w:trPr>
          <w:trHeight w:val="331"/>
        </w:trPr>
        <w:tc>
          <w:tcPr>
            <w:tcW w:w="9969" w:type="dxa"/>
            <w:shd w:val="clear" w:color="auto" w:fill="DAF0F3" w:themeFill="accent5" w:themeFillTint="33"/>
          </w:tcPr>
          <w:p w14:paraId="4C0FC46D" w14:textId="66A5566B" w:rsidR="00384CAD" w:rsidRPr="00C01287" w:rsidRDefault="00384CAD">
            <w:pPr>
              <w:rPr>
                <w:sz w:val="22"/>
                <w:szCs w:val="22"/>
              </w:rPr>
            </w:pPr>
            <w:r w:rsidRPr="00C01287">
              <w:rPr>
                <w:sz w:val="22"/>
                <w:szCs w:val="22"/>
              </w:rPr>
              <w:t>Developing Pharmacy First business continuity plan – notification of DoS and local practices</w:t>
            </w:r>
          </w:p>
        </w:tc>
        <w:tc>
          <w:tcPr>
            <w:tcW w:w="787" w:type="dxa"/>
            <w:shd w:val="clear" w:color="auto" w:fill="DAF0F3" w:themeFill="accent5" w:themeFillTint="33"/>
          </w:tcPr>
          <w:p w14:paraId="13EF605E" w14:textId="77777777" w:rsidR="00384CAD" w:rsidRPr="00C01287" w:rsidRDefault="00384CAD">
            <w:pPr>
              <w:rPr>
                <w:sz w:val="22"/>
                <w:szCs w:val="22"/>
              </w:rPr>
            </w:pPr>
          </w:p>
        </w:tc>
      </w:tr>
      <w:tr w:rsidR="00384CAD" w14:paraId="23C3FA9D" w14:textId="77777777" w:rsidTr="00C01287">
        <w:trPr>
          <w:trHeight w:val="331"/>
        </w:trPr>
        <w:tc>
          <w:tcPr>
            <w:tcW w:w="9969" w:type="dxa"/>
            <w:shd w:val="clear" w:color="auto" w:fill="DAF0F3" w:themeFill="accent5" w:themeFillTint="33"/>
          </w:tcPr>
          <w:p w14:paraId="246B1C21" w14:textId="5E326469" w:rsidR="00384CAD" w:rsidRPr="00C01287" w:rsidRDefault="00384CAD">
            <w:pPr>
              <w:rPr>
                <w:sz w:val="22"/>
                <w:szCs w:val="22"/>
              </w:rPr>
            </w:pPr>
            <w:r w:rsidRPr="00C01287">
              <w:rPr>
                <w:sz w:val="22"/>
                <w:szCs w:val="22"/>
              </w:rPr>
              <w:t>Linking Pharmacy First to other local services where appropriate</w:t>
            </w:r>
          </w:p>
        </w:tc>
        <w:tc>
          <w:tcPr>
            <w:tcW w:w="787" w:type="dxa"/>
            <w:shd w:val="clear" w:color="auto" w:fill="DAF0F3" w:themeFill="accent5" w:themeFillTint="33"/>
          </w:tcPr>
          <w:p w14:paraId="3C22F2A8" w14:textId="77777777" w:rsidR="00384CAD" w:rsidRPr="00C01287" w:rsidRDefault="00384CAD">
            <w:pPr>
              <w:rPr>
                <w:sz w:val="22"/>
                <w:szCs w:val="22"/>
              </w:rPr>
            </w:pPr>
          </w:p>
        </w:tc>
      </w:tr>
    </w:tbl>
    <w:p w14:paraId="67E551F7" w14:textId="77777777" w:rsidR="00B432D6" w:rsidRDefault="00B432D6"/>
    <w:p w14:paraId="74CE3C37" w14:textId="77777777" w:rsidR="00C01287" w:rsidRDefault="00C01287"/>
    <w:p w14:paraId="538F11F6" w14:textId="77777777" w:rsidR="00C01287" w:rsidRDefault="00C01287"/>
    <w:p w14:paraId="47943266" w14:textId="77777777" w:rsidR="00C01287" w:rsidRDefault="00C01287"/>
    <w:p w14:paraId="0D090FBC" w14:textId="77777777" w:rsidR="00C01287" w:rsidRDefault="00C01287"/>
    <w:p w14:paraId="29B74BCC" w14:textId="77777777" w:rsidR="00C01287" w:rsidRDefault="00C01287"/>
    <w:p w14:paraId="7383E50F" w14:textId="77777777" w:rsidR="00C01287" w:rsidRDefault="00C01287"/>
    <w:p w14:paraId="20140F24" w14:textId="77777777" w:rsidR="00C01287" w:rsidRDefault="00C01287"/>
    <w:p w14:paraId="54700635" w14:textId="77777777" w:rsidR="00C01287" w:rsidRDefault="00C01287"/>
    <w:p w14:paraId="048723D9" w14:textId="77777777" w:rsidR="00C01287" w:rsidRDefault="00C01287"/>
    <w:p w14:paraId="30FDF018" w14:textId="77777777" w:rsidR="00C01287" w:rsidRDefault="00C01287"/>
    <w:p w14:paraId="607CB1EF" w14:textId="77777777" w:rsidR="00C01287" w:rsidRDefault="00C01287"/>
    <w:p w14:paraId="5BB58459" w14:textId="6860716E" w:rsidR="00B432D6" w:rsidRDefault="00B432D6"/>
    <w:p w14:paraId="2266D4C6" w14:textId="1A81B24A" w:rsidR="00384CAD" w:rsidRDefault="00384CAD"/>
    <w:sectPr w:rsidR="00384CAD" w:rsidSect="00384CAD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A6257" w14:textId="77777777" w:rsidR="009C5352" w:rsidRDefault="009C5352" w:rsidP="00C01287">
      <w:pPr>
        <w:spacing w:after="0" w:line="240" w:lineRule="auto"/>
      </w:pPr>
      <w:r>
        <w:separator/>
      </w:r>
    </w:p>
  </w:endnote>
  <w:endnote w:type="continuationSeparator" w:id="0">
    <w:p w14:paraId="61B39FCE" w14:textId="77777777" w:rsidR="009C5352" w:rsidRDefault="009C5352" w:rsidP="00C01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F7537" w14:textId="77777777" w:rsidR="009C5352" w:rsidRDefault="009C5352" w:rsidP="00C01287">
      <w:pPr>
        <w:spacing w:after="0" w:line="240" w:lineRule="auto"/>
      </w:pPr>
      <w:r>
        <w:separator/>
      </w:r>
    </w:p>
  </w:footnote>
  <w:footnote w:type="continuationSeparator" w:id="0">
    <w:p w14:paraId="30395869" w14:textId="77777777" w:rsidR="009C5352" w:rsidRDefault="009C5352" w:rsidP="00C01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680C" w14:textId="34E2493A" w:rsidR="00C01287" w:rsidRDefault="00C01287" w:rsidP="00C01287">
    <w:pPr>
      <w:pStyle w:val="Header"/>
      <w:jc w:val="right"/>
    </w:pPr>
  </w:p>
  <w:p w14:paraId="5DD37A42" w14:textId="77777777" w:rsidR="00C01287" w:rsidRDefault="00C012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E37FA"/>
    <w:multiLevelType w:val="hybridMultilevel"/>
    <w:tmpl w:val="55D2B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B8531F"/>
    <w:multiLevelType w:val="hybridMultilevel"/>
    <w:tmpl w:val="1480B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342D"/>
    <w:multiLevelType w:val="hybridMultilevel"/>
    <w:tmpl w:val="AFB088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64576">
    <w:abstractNumId w:val="0"/>
  </w:num>
  <w:num w:numId="2" w16cid:durableId="982084220">
    <w:abstractNumId w:val="2"/>
  </w:num>
  <w:num w:numId="3" w16cid:durableId="1885634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CAD"/>
    <w:rsid w:val="000D367B"/>
    <w:rsid w:val="001805DB"/>
    <w:rsid w:val="00350EF5"/>
    <w:rsid w:val="00384CAD"/>
    <w:rsid w:val="006D6B1C"/>
    <w:rsid w:val="007D586A"/>
    <w:rsid w:val="009C5352"/>
    <w:rsid w:val="00A85F9F"/>
    <w:rsid w:val="00B432D6"/>
    <w:rsid w:val="00C01287"/>
    <w:rsid w:val="00CF3677"/>
    <w:rsid w:val="00D07A7B"/>
    <w:rsid w:val="00E0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6471E0"/>
  <w15:chartTrackingRefBased/>
  <w15:docId w15:val="{7B8A70F2-9ECA-4D1D-A6DC-1D7323689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4C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E762A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4C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4CAD"/>
    <w:pPr>
      <w:keepNext/>
      <w:keepLines/>
      <w:spacing w:before="160" w:after="80"/>
      <w:outlineLvl w:val="2"/>
    </w:pPr>
    <w:rPr>
      <w:rFonts w:eastAsiaTheme="majorEastAsia" w:cstheme="majorBidi"/>
      <w:color w:val="3E762A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4C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E762A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4CAD"/>
    <w:pPr>
      <w:keepNext/>
      <w:keepLines/>
      <w:spacing w:before="80" w:after="40"/>
      <w:outlineLvl w:val="4"/>
    </w:pPr>
    <w:rPr>
      <w:rFonts w:eastAsiaTheme="majorEastAsia" w:cstheme="majorBidi"/>
      <w:color w:val="3E762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4C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4C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4C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4C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CAD"/>
    <w:rPr>
      <w:rFonts w:asciiTheme="majorHAnsi" w:eastAsiaTheme="majorEastAsia" w:hAnsiTheme="majorHAnsi" w:cstheme="majorBidi"/>
      <w:color w:val="3E762A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4CAD"/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4CAD"/>
    <w:rPr>
      <w:rFonts w:eastAsiaTheme="majorEastAsia" w:cstheme="majorBidi"/>
      <w:color w:val="3E762A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4CAD"/>
    <w:rPr>
      <w:rFonts w:eastAsiaTheme="majorEastAsia" w:cstheme="majorBidi"/>
      <w:i/>
      <w:iCs/>
      <w:color w:val="3E762A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4CAD"/>
    <w:rPr>
      <w:rFonts w:eastAsiaTheme="majorEastAsia" w:cstheme="majorBidi"/>
      <w:color w:val="3E762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4C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4C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4C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4C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4C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4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C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4C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4C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4C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4C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4CAD"/>
    <w:rPr>
      <w:i/>
      <w:iCs/>
      <w:color w:val="3E762A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4CAD"/>
    <w:pPr>
      <w:pBdr>
        <w:top w:val="single" w:sz="4" w:space="10" w:color="3E762A" w:themeColor="accent1" w:themeShade="BF"/>
        <w:bottom w:val="single" w:sz="4" w:space="10" w:color="3E762A" w:themeColor="accent1" w:themeShade="BF"/>
      </w:pBdr>
      <w:spacing w:before="360" w:after="360"/>
      <w:ind w:left="864" w:right="864"/>
      <w:jc w:val="center"/>
    </w:pPr>
    <w:rPr>
      <w:i/>
      <w:iCs/>
      <w:color w:val="3E762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4CAD"/>
    <w:rPr>
      <w:i/>
      <w:iCs/>
      <w:color w:val="3E762A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4CAD"/>
    <w:rPr>
      <w:b/>
      <w:bCs/>
      <w:smallCaps/>
      <w:color w:val="3E762A" w:themeColor="accent1" w:themeShade="BF"/>
      <w:spacing w:val="5"/>
    </w:rPr>
  </w:style>
  <w:style w:type="table" w:styleId="TableGrid">
    <w:name w:val="Table Grid"/>
    <w:basedOn w:val="TableNormal"/>
    <w:uiPriority w:val="39"/>
    <w:rsid w:val="00384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1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287"/>
  </w:style>
  <w:style w:type="paragraph" w:styleId="Footer">
    <w:name w:val="footer"/>
    <w:basedOn w:val="Normal"/>
    <w:link w:val="FooterChar"/>
    <w:uiPriority w:val="99"/>
    <w:unhideWhenUsed/>
    <w:rsid w:val="00C01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20415-c2f9-4c6a-a0d3-242a2724638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BBDB81A6BEA9489072F78D3B38EACC" ma:contentTypeVersion="10" ma:contentTypeDescription="Create a new document." ma:contentTypeScope="" ma:versionID="61e6e405ad0fd627003ce914cd2d40bd">
  <xsd:schema xmlns:xsd="http://www.w3.org/2001/XMLSchema" xmlns:xs="http://www.w3.org/2001/XMLSchema" xmlns:p="http://schemas.microsoft.com/office/2006/metadata/properties" xmlns:ns2="12820415-c2f9-4c6a-a0d3-242a27246389" targetNamespace="http://schemas.microsoft.com/office/2006/metadata/properties" ma:root="true" ma:fieldsID="a5099403250a1e23bd317f3548d4d5e9" ns2:_="">
    <xsd:import namespace="12820415-c2f9-4c6a-a0d3-242a272463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20415-c2f9-4c6a-a0d3-242a272463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4ECF84-321D-4D9F-BDA5-0A39D4DE864C}">
  <ds:schemaRefs>
    <ds:schemaRef ds:uri="http://schemas.microsoft.com/office/2006/metadata/properties"/>
    <ds:schemaRef ds:uri="http://schemas.microsoft.com/office/infopath/2007/PartnerControls"/>
    <ds:schemaRef ds:uri="12820415-c2f9-4c6a-a0d3-242a27246389"/>
  </ds:schemaRefs>
</ds:datastoreItem>
</file>

<file path=customXml/itemProps2.xml><?xml version="1.0" encoding="utf-8"?>
<ds:datastoreItem xmlns:ds="http://schemas.openxmlformats.org/officeDocument/2006/customXml" ds:itemID="{FB86BF55-04E8-4697-AE9E-384EBB4E7C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444BD5-B2D2-45F5-A535-BFFA809575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820415-c2f9-4c6a-a0d3-242a272463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HENWOOD, Eleanor (NHS CORNWALL AND THE ISLES OF SCILLY ICB - 11N)</dc:creator>
  <cp:keywords/>
  <dc:description/>
  <cp:lastModifiedBy>SMITH, Suzie (NHS CORNWALL AND THE ISLES OF SCILLY ICB - 11N)</cp:lastModifiedBy>
  <cp:revision>2</cp:revision>
  <dcterms:created xsi:type="dcterms:W3CDTF">2025-05-01T09:29:00Z</dcterms:created>
  <dcterms:modified xsi:type="dcterms:W3CDTF">2025-05-01T09:29:00Z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0x01010026BBDB81A6BEA9489072F78D3B38EACC</vt:lpwstr>
  </property>
</Properties>
</file>